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</w:pPr>
      <w:r>
        <w:rPr>
          <w:rFonts w:ascii="Calibri" w:cs="Calibri" w:eastAsia="Calibri" w:hAnsi="Calibri"/>
          <w:b/>
          <w:bCs/>
          <w:color w:val="12403C"/>
          <w:sz w:val="34"/>
          <w:szCs w:val="34"/>
        </w:rPr>
        <w:t xml:space="preserve">Vnitřní směrnice pro digitalizaci účetních dokladů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Vzor osnovy k doplnění. Šedé pokyny nahraďte textem podle praxe kanceláře. Závazný text schvaluje vedení kanceláře; návrh lze připravit s pomocí AI a ověřit proti zákonu o účetnictví a zákonu o DPH.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1. Účel a rozsah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proč směrnice vzniká, na které doklady a agendy se vztahuje (přijaté a vydané faktury, banka, pokladna, mzdy, interní doklady), pro které klienty a od kterého data.</w:t>
      </w:r>
    </w:p>
    <w:p>
      <w:pPr>
        <w:spacing w:after="160"/>
      </w:pPr>
      <w:r>
        <w:rPr>
          <w:rFonts w:ascii="Calibri" w:cs="Calibri" w:eastAsia="Calibri" w:hAnsi="Calibri"/>
          <w:color w:val="1B2A2A"/>
          <w:sz w:val="22"/>
          <w:szCs w:val="22"/>
        </w:rPr>
        <w:t xml:space="preserve">Tato směrnice stanoví postup příjmu, převodu, kontroly, uložení a skartace účetních dokladů v elektronické podobě tak, aby byla zachována průkaznost účetních záznamů a věrohodnost původu, neporušenost obsahu a čitelnost daňových dokladů po celou dobu jejich uchovávání.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2. Odpovědnosti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kdo přijímá doklady, kdo skenuje, kdo kontroluje a ukládá, kdo schvaluje výjimky, kdo odpovídá za zálohy a přístupová práva, kdo komunikuje s klientem.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Činnost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Odpovědná osoba / role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Zástup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Příjem a evidence dokladů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Skenování listinných dokladů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Kontrola vytěžených údajů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Uložení a archiv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Zálohy a přístupová práva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3. Příjem dokladů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přijímané kanály (e-mailová adresa pro doklady, Inbox v Evale, zákaznický portál, sdílená složka, datová schránka, osobní předání), jak se přijetí eviduje, termíny dodání podkladů klienty.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4. Převod listinných dokladů do elektronické podoby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parametry skenu (rozlišení, barevnost, formát PDF/A), skenování celého dokladu včetně příloh, způsob ověření shody skenu s originálem, kdo a jak převod potvrzuje, co se děje s originálem (vrácení klientovi, úschova, skartace po dohodě s klientem).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5. Elektronické doklady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preferované formáty (ISDOC, PDF z programu), ukládání zpráv z datových schránek jako celé zprávy ve formátu ZFO, zacházení s elektronicky podepsanými doklady (ověření podpisu).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6. Vytěžování a kontrola údajů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používané nástroje (Rossum v Evale, Inbox v Money S3, Copilot, převodníky), povinné kontroly (součty, dodavatel v ARES, nespolehlivý plátce, zveřejněný účet, náležitosti daňového dokladu, duplicita), řešení výjimek. Přiložte kontrolní seznam jako přílohu.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7. Uložení a archiv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úložiště (server, QNAP, Evala), struktura složek (klient → rok → agenda), pravidlo pojmenování souborů (období_typ_partner_číslo), přístupová práva podle agend, lhůty uchování.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Druh záznamu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Lhůta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shd w:fill="12403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Předpis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Účetní závěrka, výroční zpráva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10 let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Zákon o účetnictví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Účetní doklady, knihy, další účetní záznamy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5 let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Zákon o účetnictví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Daňové doklady (DPH)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10 let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Zákon o DPH</w:t>
            </w:r>
          </w:p>
        </w:tc>
      </w:tr>
      <w:tr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Mzdové listy a evidence pro důchodové pojištění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45 let (poživatelé starobního důchodu 10 let)</w:t>
            </w:r>
          </w:p>
        </w:tc>
        <w:tc>
          <w:tcPr>
            <w:tcW w:type="dxa" w:w="3212"/>
            <w:tcBorders>
              <w:top w:val="single" w:color="CFDCDA" w:sz="4"/>
              <w:left w:val="single" w:color="CFDCDA" w:sz="4"/>
              <w:bottom w:val="single" w:color="CFDCDA" w:sz="4"/>
              <w:right w:val="single" w:color="CFDCDA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2A2A"/>
                <w:sz w:val="20"/>
                <w:szCs w:val="20"/>
              </w:rPr>
              <w:t xml:space="preserve">Zákon o organizaci a provádění sociálního zabezpečení</w:t>
            </w:r>
          </w:p>
        </w:tc>
      </w:tr>
    </w:tbl>
    <w:p>
      <w:pPr>
        <w:spacing w:after="12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8. Bezpečnost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dvoufaktorové ověření, zálohování (pravidlo 3-2-1) a zkušební obnova (jak často, kdo), aktualizace úložišť a serverů, bezpečné předávání dat klientům, postup při ztrátě nebo úniku dat.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9. Používání nástrojů umělé inteligence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povolené nástroje (Copilot s firemním účtem Microsoft 365), zákaz vkládání osobních údajů do veřejných nástrojů, anonymizace, povinná kontrola výstupu, odpovědnost za výsledek, sdílená knihovna ověřených zadání.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10. Skartace a předávání originálů klientům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kdy a jak se originály vracejí klientům (předávací protokol), kdo odpovídá za jejich úschovu, skartační řízení kanceláře, evidence skartovaných záznamů.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11. Účinnost a revize</w:t>
      </w:r>
    </w:p>
    <w:p>
      <w:pPr>
        <w:shd w:fill="EEF3F2" w:color="auto" w:val="clear"/>
        <w:spacing w:after="120"/>
      </w:pPr>
      <w:r>
        <w:rPr>
          <w:rFonts w:ascii="Calibri" w:cs="Calibri" w:eastAsia="Calibri" w:hAnsi="Calibri"/>
          <w:i/>
          <w:iCs/>
          <w:color w:val="6B7B7A"/>
          <w:sz w:val="20"/>
          <w:szCs w:val="20"/>
        </w:rPr>
        <w:t xml:space="preserve">Doplňte: datum účinnosti, četnost revize (např. jednou ročně a při změně legislativy nebo programů), kdo revizi provádí.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2403C"/>
          <w:sz w:val="26"/>
          <w:szCs w:val="26"/>
        </w:rPr>
        <w:t xml:space="preserve">Přílohy</w:t>
      </w:r>
    </w:p>
    <w:p>
      <w:pPr>
        <w:spacing w:after="60"/>
        <w:ind w:left="360" w:hanging="360"/>
      </w:pPr>
      <w:r>
        <w:rPr>
          <w:rFonts w:ascii="Calibri" w:cs="Calibri" w:eastAsia="Calibri" w:hAnsi="Calibri"/>
          <w:color w:val="1B2A2A"/>
          <w:sz w:val="22"/>
          <w:szCs w:val="22"/>
        </w:rPr>
        <w:t xml:space="preserve">1. Kontrolní seznam přijaté faktury</w:t>
      </w:r>
    </w:p>
    <w:p>
      <w:pPr>
        <w:spacing w:after="60"/>
        <w:ind w:left="360" w:hanging="360"/>
      </w:pPr>
      <w:r>
        <w:rPr>
          <w:rFonts w:ascii="Calibri" w:cs="Calibri" w:eastAsia="Calibri" w:hAnsi="Calibri"/>
          <w:color w:val="1B2A2A"/>
          <w:sz w:val="22"/>
          <w:szCs w:val="22"/>
        </w:rPr>
        <w:t xml:space="preserve">2. Kontrolní list přenosu mezd</w:t>
      </w:r>
    </w:p>
    <w:p>
      <w:pPr>
        <w:spacing w:after="60"/>
        <w:ind w:left="360" w:hanging="360"/>
      </w:pPr>
      <w:r>
        <w:rPr>
          <w:rFonts w:ascii="Calibri" w:cs="Calibri" w:eastAsia="Calibri" w:hAnsi="Calibri"/>
          <w:color w:val="1B2A2A"/>
          <w:sz w:val="22"/>
          <w:szCs w:val="22"/>
        </w:rPr>
        <w:t xml:space="preserve">3. Leták pro klienty „Jak nám posílat doklady“</w:t>
      </w:r>
    </w:p>
    <w:p>
      <w:pPr>
        <w:spacing w:after="60"/>
        <w:ind w:left="360" w:hanging="360"/>
      </w:pPr>
      <w:r>
        <w:rPr>
          <w:rFonts w:ascii="Calibri" w:cs="Calibri" w:eastAsia="Calibri" w:hAnsi="Calibri"/>
          <w:color w:val="1B2A2A"/>
          <w:sz w:val="22"/>
          <w:szCs w:val="22"/>
        </w:rPr>
        <w:t xml:space="preserve">4. Plán digitalizace 30 / 60 / 90 dní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6B7B7A"/>
        <w:sz w:val="16"/>
        <w:szCs w:val="16"/>
      </w:rPr>
      <w:t xml:space="preserve">Vzor osnovy — vzdělávací aktivita Rozvoj digitálních dovedností – Digitalizace účetnictví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směrnice pro digitalizaci účetních dokladů — vzor osnovy</dc:title>
  <dc:creator>Ing. Dušan Kovář, KOWEX Consulting, s.r.o.</dc:creator>
  <cp:lastModifiedBy>Un-named</cp:lastModifiedBy>
  <cp:revision>1</cp:revision>
  <dcterms:created xsi:type="dcterms:W3CDTF">2026-09-29T20:24:21.797Z</dcterms:created>
  <dcterms:modified xsi:type="dcterms:W3CDTF">2026-09-29T20:24:21.797Z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